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Pr="00A70CD5" w:rsidRDefault="00B921ED">
      <w:pPr>
        <w:widowControl w:val="0"/>
        <w:autoSpaceDE w:val="0"/>
        <w:autoSpaceDN w:val="0"/>
        <w:adjustRightInd w:val="0"/>
      </w:pPr>
      <w:r w:rsidRPr="00A70CD5">
        <w:rPr>
          <w:b/>
          <w:bCs/>
        </w:rPr>
        <w:t xml:space="preserve">DIABETES MELLITUS IS A PREDICTOR OF HYPORESPOSIVENESS TO CLOPIDOGREL BY PLATELET FUNCTION TESTING IN EMERGENCY ROOM </w:t>
      </w:r>
    </w:p>
    <w:p w:rsidR="00B551E9" w:rsidRPr="00A70CD5" w:rsidRDefault="00B921ED" w:rsidP="00B551E9">
      <w:pPr>
        <w:widowControl w:val="0"/>
        <w:autoSpaceDE w:val="0"/>
        <w:autoSpaceDN w:val="0"/>
        <w:adjustRightInd w:val="0"/>
      </w:pPr>
      <w:r w:rsidRPr="00A70CD5">
        <w:rPr>
          <w:b/>
          <w:bCs/>
          <w:u w:val="single"/>
        </w:rPr>
        <w:t>R</w:t>
      </w:r>
      <w:r w:rsidR="00B551E9" w:rsidRPr="00A70CD5">
        <w:rPr>
          <w:b/>
          <w:bCs/>
          <w:u w:val="single"/>
        </w:rPr>
        <w:t>.</w:t>
      </w:r>
      <w:r w:rsidRPr="00A70CD5">
        <w:rPr>
          <w:b/>
          <w:bCs/>
          <w:u w:val="single"/>
        </w:rPr>
        <w:t>K</w:t>
      </w:r>
      <w:r w:rsidR="00B551E9" w:rsidRPr="00A70CD5">
        <w:rPr>
          <w:b/>
          <w:bCs/>
          <w:u w:val="single"/>
        </w:rPr>
        <w:t>. Sharma</w:t>
      </w:r>
      <w:r w:rsidR="00B551E9" w:rsidRPr="00A70CD5">
        <w:rPr>
          <w:b/>
          <w:bCs/>
          <w:u w:val="single"/>
          <w:vertAlign w:val="superscript"/>
        </w:rPr>
        <w:t>1</w:t>
      </w:r>
      <w:r w:rsidRPr="00A70CD5">
        <w:t>, S</w:t>
      </w:r>
      <w:r w:rsidR="00B551E9" w:rsidRPr="00A70CD5">
        <w:t>.</w:t>
      </w:r>
      <w:r w:rsidRPr="00A70CD5">
        <w:t>W</w:t>
      </w:r>
      <w:r w:rsidR="00B551E9" w:rsidRPr="00A70CD5">
        <w:t>.</w:t>
      </w:r>
      <w:r w:rsidRPr="00A70CD5">
        <w:t xml:space="preserve"> Erickson</w:t>
      </w:r>
      <w:r w:rsidR="00B551E9" w:rsidRPr="00A70CD5">
        <w:rPr>
          <w:vertAlign w:val="superscript"/>
        </w:rPr>
        <w:t>1</w:t>
      </w:r>
      <w:r w:rsidRPr="00A70CD5">
        <w:t>, R</w:t>
      </w:r>
      <w:r w:rsidR="00B551E9" w:rsidRPr="00A70CD5">
        <w:t>.</w:t>
      </w:r>
      <w:r w:rsidRPr="00A70CD5">
        <w:t xml:space="preserve"> Sharma</w:t>
      </w:r>
      <w:r w:rsidR="00B551E9" w:rsidRPr="00A70CD5">
        <w:rPr>
          <w:vertAlign w:val="superscript"/>
        </w:rPr>
        <w:t>2</w:t>
      </w:r>
      <w:r w:rsidRPr="00A70CD5">
        <w:t>, D</w:t>
      </w:r>
      <w:r w:rsidR="00B551E9" w:rsidRPr="00A70CD5">
        <w:t>.</w:t>
      </w:r>
      <w:r w:rsidRPr="00A70CD5">
        <w:t>J</w:t>
      </w:r>
      <w:r w:rsidR="00B551E9" w:rsidRPr="00A70CD5">
        <w:t>.</w:t>
      </w:r>
      <w:r w:rsidRPr="00A70CD5">
        <w:t xml:space="preserve"> Voelker</w:t>
      </w:r>
      <w:r w:rsidR="00B551E9" w:rsidRPr="00A70CD5">
        <w:rPr>
          <w:vertAlign w:val="superscript"/>
        </w:rPr>
        <w:t>1</w:t>
      </w:r>
      <w:r w:rsidRPr="00A70CD5">
        <w:t>, F</w:t>
      </w:r>
      <w:r w:rsidR="00B551E9" w:rsidRPr="00A70CD5">
        <w:t>.</w:t>
      </w:r>
      <w:r w:rsidRPr="00A70CD5">
        <w:t xml:space="preserve"> Forsea</w:t>
      </w:r>
      <w:r w:rsidR="00B551E9" w:rsidRPr="00A70CD5">
        <w:rPr>
          <w:vertAlign w:val="superscript"/>
        </w:rPr>
        <w:t>1</w:t>
      </w:r>
      <w:r w:rsidRPr="00A70CD5">
        <w:t>, H</w:t>
      </w:r>
      <w:r w:rsidR="00B551E9" w:rsidRPr="00A70CD5">
        <w:t>.</w:t>
      </w:r>
      <w:r w:rsidRPr="00A70CD5">
        <w:t xml:space="preserve"> Dod</w:t>
      </w:r>
      <w:r w:rsidR="00B551E9" w:rsidRPr="00A70CD5">
        <w:rPr>
          <w:vertAlign w:val="superscript"/>
        </w:rPr>
        <w:t>2</w:t>
      </w:r>
      <w:r w:rsidRPr="00A70CD5">
        <w:t xml:space="preserve">, </w:t>
      </w:r>
    </w:p>
    <w:p w:rsidR="00B551E9" w:rsidRPr="00A70CD5" w:rsidRDefault="00B921ED" w:rsidP="00B551E9">
      <w:pPr>
        <w:widowControl w:val="0"/>
        <w:autoSpaceDE w:val="0"/>
        <w:autoSpaceDN w:val="0"/>
        <w:adjustRightInd w:val="0"/>
        <w:rPr>
          <w:color w:val="000000"/>
        </w:rPr>
      </w:pPr>
      <w:r w:rsidRPr="00A70CD5">
        <w:t>V</w:t>
      </w:r>
      <w:r w:rsidR="00B551E9" w:rsidRPr="00A70CD5">
        <w:t>.</w:t>
      </w:r>
      <w:r w:rsidRPr="00A70CD5">
        <w:t>N</w:t>
      </w:r>
      <w:r w:rsidR="00B551E9" w:rsidRPr="00A70CD5">
        <w:t>.</w:t>
      </w:r>
      <w:r w:rsidRPr="00A70CD5">
        <w:t xml:space="preserve"> Singh</w:t>
      </w:r>
      <w:r w:rsidR="00B551E9" w:rsidRPr="00A70CD5">
        <w:rPr>
          <w:vertAlign w:val="superscript"/>
        </w:rPr>
        <w:t>3</w:t>
      </w:r>
      <w:r w:rsidRPr="00A70CD5">
        <w:t>, H</w:t>
      </w:r>
      <w:r w:rsidR="00B551E9" w:rsidRPr="00A70CD5">
        <w:t>.</w:t>
      </w:r>
      <w:r w:rsidRPr="00A70CD5">
        <w:t>K</w:t>
      </w:r>
      <w:r w:rsidR="00B551E9" w:rsidRPr="00A70CD5">
        <w:t>.</w:t>
      </w:r>
      <w:r w:rsidRPr="00A70CD5">
        <w:t xml:space="preserve"> Reddy</w:t>
      </w:r>
      <w:r w:rsidR="00B551E9" w:rsidRPr="00A70CD5">
        <w:rPr>
          <w:vertAlign w:val="superscript"/>
        </w:rPr>
        <w:t>1</w:t>
      </w:r>
      <w:r w:rsidRPr="00A70CD5">
        <w:t>, J</w:t>
      </w:r>
      <w:r w:rsidR="00B551E9" w:rsidRPr="00A70CD5">
        <w:t>.</w:t>
      </w:r>
      <w:r w:rsidRPr="00A70CD5">
        <w:t>D</w:t>
      </w:r>
      <w:r w:rsidR="00B551E9" w:rsidRPr="00A70CD5">
        <w:t>.</w:t>
      </w:r>
      <w:r w:rsidRPr="00A70CD5">
        <w:t xml:space="preserve"> Marsh</w:t>
      </w:r>
      <w:r w:rsidR="00B551E9" w:rsidRPr="00A70CD5">
        <w:rPr>
          <w:vertAlign w:val="superscript"/>
        </w:rPr>
        <w:t>1</w:t>
      </w:r>
      <w:r w:rsidRPr="00A70CD5">
        <w:rPr>
          <w:color w:val="000000"/>
        </w:rPr>
        <w:t xml:space="preserve"> </w:t>
      </w:r>
    </w:p>
    <w:p w:rsidR="00B921ED" w:rsidRPr="00A70CD5" w:rsidRDefault="00B551E9" w:rsidP="00B551E9">
      <w:pPr>
        <w:widowControl w:val="0"/>
        <w:autoSpaceDE w:val="0"/>
        <w:autoSpaceDN w:val="0"/>
        <w:adjustRightInd w:val="0"/>
      </w:pPr>
      <w:r w:rsidRPr="00A70CD5">
        <w:rPr>
          <w:color w:val="000000"/>
          <w:vertAlign w:val="superscript"/>
        </w:rPr>
        <w:t>1</w:t>
      </w:r>
      <w:r w:rsidR="00B921ED" w:rsidRPr="00A70CD5">
        <w:rPr>
          <w:color w:val="000000"/>
        </w:rPr>
        <w:t>University of Arkansas for Medical Sciences, Little Rock, A</w:t>
      </w:r>
      <w:r w:rsidRPr="00A70CD5">
        <w:rPr>
          <w:color w:val="000000"/>
        </w:rPr>
        <w:t>R</w:t>
      </w:r>
      <w:r w:rsidR="00B921ED" w:rsidRPr="00A70CD5">
        <w:rPr>
          <w:color w:val="000000"/>
        </w:rPr>
        <w:t xml:space="preserve">, </w:t>
      </w:r>
      <w:r w:rsidRPr="00A70CD5">
        <w:rPr>
          <w:color w:val="000000"/>
          <w:vertAlign w:val="superscript"/>
        </w:rPr>
        <w:t>2</w:t>
      </w:r>
      <w:r w:rsidR="00B921ED" w:rsidRPr="00A70CD5">
        <w:rPr>
          <w:color w:val="000000"/>
        </w:rPr>
        <w:t xml:space="preserve">Medical Center of South </w:t>
      </w:r>
      <w:proofErr w:type="spellStart"/>
      <w:r w:rsidR="00B921ED" w:rsidRPr="00A70CD5">
        <w:rPr>
          <w:color w:val="000000"/>
        </w:rPr>
        <w:t>Arkansas,UAMS</w:t>
      </w:r>
      <w:proofErr w:type="spellEnd"/>
      <w:r w:rsidR="00B921ED" w:rsidRPr="00A70CD5">
        <w:rPr>
          <w:color w:val="000000"/>
        </w:rPr>
        <w:t>, Little Rock, AR</w:t>
      </w:r>
      <w:r w:rsidRPr="00A70CD5">
        <w:rPr>
          <w:color w:val="000000"/>
        </w:rPr>
        <w:t>,</w:t>
      </w:r>
      <w:r w:rsidR="00B921ED" w:rsidRPr="00A70CD5">
        <w:rPr>
          <w:color w:val="000000"/>
        </w:rPr>
        <w:t xml:space="preserve"> USA, </w:t>
      </w:r>
      <w:r w:rsidRPr="00A70CD5">
        <w:rPr>
          <w:color w:val="000000"/>
          <w:vertAlign w:val="superscript"/>
        </w:rPr>
        <w:t>3</w:t>
      </w:r>
      <w:r w:rsidR="00B921ED" w:rsidRPr="00A70CD5">
        <w:rPr>
          <w:color w:val="000000"/>
        </w:rPr>
        <w:t>Univer</w:t>
      </w:r>
      <w:r w:rsidRPr="00A70CD5">
        <w:rPr>
          <w:color w:val="000000"/>
        </w:rPr>
        <w:t>sity of South Florida, Tampa, FL</w:t>
      </w:r>
      <w:r w:rsidR="00B921ED" w:rsidRPr="00A70CD5">
        <w:rPr>
          <w:color w:val="000000"/>
        </w:rPr>
        <w:t xml:space="preserve">, </w:t>
      </w:r>
      <w:r w:rsidRPr="00A70CD5">
        <w:rPr>
          <w:color w:val="000000"/>
        </w:rPr>
        <w:t>USA</w:t>
      </w:r>
    </w:p>
    <w:p w:rsidR="00B921ED" w:rsidRPr="00A70CD5" w:rsidRDefault="00B921ED">
      <w:pPr>
        <w:widowControl w:val="0"/>
        <w:autoSpaceDE w:val="0"/>
        <w:autoSpaceDN w:val="0"/>
        <w:adjustRightInd w:val="0"/>
      </w:pPr>
    </w:p>
    <w:p w:rsidR="00B551E9" w:rsidRPr="00A70CD5" w:rsidRDefault="00B921ED">
      <w:pPr>
        <w:widowControl w:val="0"/>
        <w:autoSpaceDE w:val="0"/>
        <w:autoSpaceDN w:val="0"/>
        <w:adjustRightInd w:val="0"/>
        <w:jc w:val="both"/>
      </w:pPr>
      <w:r w:rsidRPr="00A70CD5">
        <w:t>Background: Studies have found that platelets from diabetic patients are generally more reactive and less respon</w:t>
      </w:r>
      <w:r w:rsidR="00B551E9" w:rsidRPr="00A70CD5">
        <w:t xml:space="preserve">sive to anti-platelet therapy. </w:t>
      </w:r>
      <w:r w:rsidRPr="00A70CD5">
        <w:t xml:space="preserve">Such patients undergoing per-cutaneous interventions (PCI) are more likely to have higher platelet reactivity predisposing to poor </w:t>
      </w:r>
      <w:proofErr w:type="spellStart"/>
      <w:r w:rsidRPr="00A70CD5">
        <w:t>peri</w:t>
      </w:r>
      <w:proofErr w:type="spellEnd"/>
      <w:r w:rsidRPr="00A70CD5">
        <w:t>-procedural outcomes.</w:t>
      </w:r>
      <w:r w:rsidR="00B551E9" w:rsidRPr="00A70CD5">
        <w:t xml:space="preserve"> </w:t>
      </w:r>
      <w:r w:rsidRPr="00A70CD5">
        <w:t xml:space="preserve">The objective of our study was to evaluate the prevalence of </w:t>
      </w:r>
      <w:proofErr w:type="spellStart"/>
      <w:r w:rsidRPr="00A70CD5">
        <w:t>hyporesponsiveness</w:t>
      </w:r>
      <w:proofErr w:type="spellEnd"/>
      <w:r w:rsidRPr="00A70CD5">
        <w:t xml:space="preserve"> to </w:t>
      </w:r>
      <w:proofErr w:type="spellStart"/>
      <w:r w:rsidRPr="00A70CD5">
        <w:t>clopidogrel</w:t>
      </w:r>
      <w:proofErr w:type="spellEnd"/>
      <w:r w:rsidRPr="00A70CD5">
        <w:t xml:space="preserve"> in previously stented patients presenting to an emergency room with chest pain.</w:t>
      </w:r>
    </w:p>
    <w:p w:rsidR="00B551E9" w:rsidRPr="00A70CD5" w:rsidRDefault="00B921ED">
      <w:pPr>
        <w:widowControl w:val="0"/>
        <w:autoSpaceDE w:val="0"/>
        <w:autoSpaceDN w:val="0"/>
        <w:adjustRightInd w:val="0"/>
        <w:jc w:val="both"/>
      </w:pPr>
      <w:r w:rsidRPr="00A70CD5">
        <w:t>Methods:</w:t>
      </w:r>
      <w:r w:rsidR="00B551E9" w:rsidRPr="00A70CD5">
        <w:t xml:space="preserve"> </w:t>
      </w:r>
      <w:r w:rsidRPr="00A70CD5">
        <w:t>Platelet function assays were performed in 531 consecutive patients presenting to the hospital with chest pain as per chest pain center protocol if they were on clopidogrel and aspirin after coronary artery stenting.  Multivariable logistic regression analysis was performed to evaluate</w:t>
      </w:r>
      <w:r w:rsidR="00B551E9" w:rsidRPr="00A70CD5">
        <w:t xml:space="preserve"> the role of type II diabetes. </w:t>
      </w:r>
      <w:r w:rsidRPr="00A70CD5">
        <w:t xml:space="preserve">Patients were </w:t>
      </w:r>
      <w:proofErr w:type="spellStart"/>
      <w:r w:rsidRPr="00A70CD5">
        <w:t>labelled</w:t>
      </w:r>
      <w:proofErr w:type="spellEnd"/>
      <w:r w:rsidRPr="00A70CD5">
        <w:t xml:space="preserve"> </w:t>
      </w:r>
      <w:proofErr w:type="spellStart"/>
      <w:r w:rsidRPr="00A70CD5">
        <w:t>hyporesponders</w:t>
      </w:r>
      <w:proofErr w:type="spellEnd"/>
      <w:r w:rsidRPr="00A70CD5">
        <w:t xml:space="preserve"> if they had P2Y12 Reactivity Units (PRU) </w:t>
      </w:r>
      <w:r w:rsidR="00B3741D" w:rsidRPr="00A70CD5">
        <w:rPr>
          <w:rFonts w:ascii="Calibri" w:hAnsi="Calibri"/>
          <w:lang w:val="en"/>
        </w:rPr>
        <w:t>≥ 230</w:t>
      </w:r>
      <w:r w:rsidRPr="00A70CD5">
        <w:t>.</w:t>
      </w:r>
    </w:p>
    <w:p w:rsidR="00B551E9" w:rsidRPr="00A70CD5" w:rsidRDefault="00B921ED">
      <w:pPr>
        <w:widowControl w:val="0"/>
        <w:autoSpaceDE w:val="0"/>
        <w:autoSpaceDN w:val="0"/>
        <w:adjustRightInd w:val="0"/>
        <w:jc w:val="both"/>
      </w:pPr>
      <w:r w:rsidRPr="00A70CD5">
        <w:t xml:space="preserve">Results: Out of 531 patients, 221 (41.6%) had </w:t>
      </w:r>
      <w:r w:rsidR="00B3741D" w:rsidRPr="00A70CD5">
        <w:t>PRU</w:t>
      </w:r>
      <w:r w:rsidR="00B3741D" w:rsidRPr="00A70CD5">
        <w:rPr>
          <w:rFonts w:ascii="Calibri" w:hAnsi="Calibri"/>
          <w:lang w:val="en"/>
        </w:rPr>
        <w:t>≥</w:t>
      </w:r>
      <w:r w:rsidRPr="00A70CD5">
        <w:t>230</w:t>
      </w:r>
      <w:r w:rsidR="00171FD4" w:rsidRPr="00A70CD5">
        <w:t xml:space="preserve">. </w:t>
      </w:r>
      <w:r w:rsidRPr="00A70CD5">
        <w:t xml:space="preserve">A multivariable logistic regression model was fitted to determine the relationship between </w:t>
      </w:r>
      <w:proofErr w:type="spellStart"/>
      <w:r w:rsidRPr="00A70CD5">
        <w:t>clopidogrel</w:t>
      </w:r>
      <w:proofErr w:type="spellEnd"/>
      <w:r w:rsidRPr="00A70CD5">
        <w:t xml:space="preserve"> </w:t>
      </w:r>
      <w:proofErr w:type="spellStart"/>
      <w:r w:rsidRPr="00A70CD5">
        <w:t>hyporesponsiveness</w:t>
      </w:r>
      <w:proofErr w:type="spellEnd"/>
      <w:r w:rsidRPr="00A70CD5">
        <w:t xml:space="preserve"> and several potential risk factors, including type II diabetes.  There was a greater risk of </w:t>
      </w:r>
      <w:proofErr w:type="spellStart"/>
      <w:r w:rsidRPr="00A70CD5">
        <w:t>hyporesponsiveness</w:t>
      </w:r>
      <w:proofErr w:type="spellEnd"/>
      <w:r w:rsidRPr="00A70CD5">
        <w:t xml:space="preserve"> among patients with type II diabetes (adjusted odds ratio, AOR=2.109, p=0.0003) compared to those without.</w:t>
      </w:r>
    </w:p>
    <w:p w:rsidR="00B921ED" w:rsidRDefault="00B921ED">
      <w:pPr>
        <w:widowControl w:val="0"/>
        <w:autoSpaceDE w:val="0"/>
        <w:autoSpaceDN w:val="0"/>
        <w:adjustRightInd w:val="0"/>
        <w:jc w:val="both"/>
      </w:pPr>
      <w:r w:rsidRPr="00A70CD5">
        <w:t xml:space="preserve">Conclusions: There is a high prevalence of </w:t>
      </w:r>
      <w:proofErr w:type="spellStart"/>
      <w:r w:rsidRPr="00A70CD5">
        <w:t>clopidogrel</w:t>
      </w:r>
      <w:proofErr w:type="spellEnd"/>
      <w:r w:rsidRPr="00A70CD5">
        <w:t xml:space="preserve"> </w:t>
      </w:r>
      <w:proofErr w:type="spellStart"/>
      <w:r w:rsidRPr="00A70CD5">
        <w:t>hyporesponsiveness</w:t>
      </w:r>
      <w:proofErr w:type="spellEnd"/>
      <w:r w:rsidRPr="00A70CD5">
        <w:t xml:space="preserve"> among diabetic patients.  Identification of these poor responders is important as they may have a higher risk of </w:t>
      </w:r>
      <w:proofErr w:type="spellStart"/>
      <w:r w:rsidRPr="00A70CD5">
        <w:t>peri</w:t>
      </w:r>
      <w:proofErr w:type="spellEnd"/>
      <w:r w:rsidRPr="00A70CD5">
        <w:t>-procedural outcomes. Therefore, anti-platelet regimen may be optimized by higher dose of clopidogrel or an alternative P2Y12 receptor blocker in such patients.</w:t>
      </w:r>
      <w:bookmarkStart w:id="0" w:name="_GoBack"/>
      <w:bookmarkEnd w:id="0"/>
    </w:p>
    <w:p w:rsidR="00B921ED" w:rsidRDefault="00B921ED">
      <w:pPr>
        <w:widowControl w:val="0"/>
        <w:autoSpaceDE w:val="0"/>
        <w:autoSpaceDN w:val="0"/>
        <w:adjustRightInd w:val="0"/>
      </w:pPr>
    </w:p>
    <w:sectPr w:rsidR="00B921ED" w:rsidSect="00171FD4">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FD4" w:rsidRDefault="00171FD4" w:rsidP="00171FD4">
      <w:r>
        <w:separator/>
      </w:r>
    </w:p>
  </w:endnote>
  <w:endnote w:type="continuationSeparator" w:id="0">
    <w:p w:rsidR="00171FD4" w:rsidRDefault="00171FD4" w:rsidP="00171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FD4" w:rsidRDefault="00171FD4" w:rsidP="00171FD4">
      <w:r>
        <w:separator/>
      </w:r>
    </w:p>
  </w:footnote>
  <w:footnote w:type="continuationSeparator" w:id="0">
    <w:p w:rsidR="00171FD4" w:rsidRDefault="00171FD4" w:rsidP="00171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FD4" w:rsidRDefault="00171FD4" w:rsidP="00171FD4">
    <w:pPr>
      <w:pStyle w:val="Header"/>
    </w:pPr>
    <w:r>
      <w:t>1522, oral, cat: 18</w:t>
    </w:r>
  </w:p>
  <w:p w:rsidR="00171FD4" w:rsidRDefault="00171F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171FD4"/>
    <w:rsid w:val="0043107B"/>
    <w:rsid w:val="00447B2F"/>
    <w:rsid w:val="00A70CD5"/>
    <w:rsid w:val="00B3741D"/>
    <w:rsid w:val="00B551E9"/>
    <w:rsid w:val="00B921E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FD4"/>
    <w:pPr>
      <w:tabs>
        <w:tab w:val="center" w:pos="4320"/>
        <w:tab w:val="right" w:pos="8640"/>
      </w:tabs>
    </w:pPr>
  </w:style>
  <w:style w:type="character" w:customStyle="1" w:styleId="HeaderChar">
    <w:name w:val="Header Char"/>
    <w:basedOn w:val="DefaultParagraphFont"/>
    <w:link w:val="Header"/>
    <w:uiPriority w:val="99"/>
    <w:rsid w:val="00171FD4"/>
    <w:rPr>
      <w:sz w:val="24"/>
      <w:szCs w:val="24"/>
    </w:rPr>
  </w:style>
  <w:style w:type="paragraph" w:styleId="Footer">
    <w:name w:val="footer"/>
    <w:basedOn w:val="Normal"/>
    <w:link w:val="FooterChar"/>
    <w:uiPriority w:val="99"/>
    <w:unhideWhenUsed/>
    <w:rsid w:val="00171FD4"/>
    <w:pPr>
      <w:tabs>
        <w:tab w:val="center" w:pos="4320"/>
        <w:tab w:val="right" w:pos="8640"/>
      </w:tabs>
    </w:pPr>
  </w:style>
  <w:style w:type="character" w:customStyle="1" w:styleId="FooterChar">
    <w:name w:val="Footer Char"/>
    <w:basedOn w:val="DefaultParagraphFont"/>
    <w:link w:val="Footer"/>
    <w:uiPriority w:val="99"/>
    <w:rsid w:val="00171FD4"/>
    <w:rPr>
      <w:sz w:val="24"/>
      <w:szCs w:val="24"/>
    </w:rPr>
  </w:style>
  <w:style w:type="paragraph" w:styleId="BalloonText">
    <w:name w:val="Balloon Text"/>
    <w:basedOn w:val="Normal"/>
    <w:link w:val="BalloonTextChar"/>
    <w:uiPriority w:val="99"/>
    <w:semiHidden/>
    <w:unhideWhenUsed/>
    <w:rsid w:val="00171FD4"/>
    <w:rPr>
      <w:rFonts w:ascii="Tahoma" w:hAnsi="Tahoma" w:cs="Tahoma"/>
      <w:sz w:val="16"/>
      <w:szCs w:val="16"/>
    </w:rPr>
  </w:style>
  <w:style w:type="character" w:customStyle="1" w:styleId="BalloonTextChar">
    <w:name w:val="Balloon Text Char"/>
    <w:basedOn w:val="DefaultParagraphFont"/>
    <w:link w:val="BalloonText"/>
    <w:uiPriority w:val="99"/>
    <w:semiHidden/>
    <w:rsid w:val="00171F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FD4"/>
    <w:pPr>
      <w:tabs>
        <w:tab w:val="center" w:pos="4320"/>
        <w:tab w:val="right" w:pos="8640"/>
      </w:tabs>
    </w:pPr>
  </w:style>
  <w:style w:type="character" w:customStyle="1" w:styleId="HeaderChar">
    <w:name w:val="Header Char"/>
    <w:basedOn w:val="DefaultParagraphFont"/>
    <w:link w:val="Header"/>
    <w:uiPriority w:val="99"/>
    <w:rsid w:val="00171FD4"/>
    <w:rPr>
      <w:sz w:val="24"/>
      <w:szCs w:val="24"/>
    </w:rPr>
  </w:style>
  <w:style w:type="paragraph" w:styleId="Footer">
    <w:name w:val="footer"/>
    <w:basedOn w:val="Normal"/>
    <w:link w:val="FooterChar"/>
    <w:uiPriority w:val="99"/>
    <w:unhideWhenUsed/>
    <w:rsid w:val="00171FD4"/>
    <w:pPr>
      <w:tabs>
        <w:tab w:val="center" w:pos="4320"/>
        <w:tab w:val="right" w:pos="8640"/>
      </w:tabs>
    </w:pPr>
  </w:style>
  <w:style w:type="character" w:customStyle="1" w:styleId="FooterChar">
    <w:name w:val="Footer Char"/>
    <w:basedOn w:val="DefaultParagraphFont"/>
    <w:link w:val="Footer"/>
    <w:uiPriority w:val="99"/>
    <w:rsid w:val="00171FD4"/>
    <w:rPr>
      <w:sz w:val="24"/>
      <w:szCs w:val="24"/>
    </w:rPr>
  </w:style>
  <w:style w:type="paragraph" w:styleId="BalloonText">
    <w:name w:val="Balloon Text"/>
    <w:basedOn w:val="Normal"/>
    <w:link w:val="BalloonTextChar"/>
    <w:uiPriority w:val="99"/>
    <w:semiHidden/>
    <w:unhideWhenUsed/>
    <w:rsid w:val="00171FD4"/>
    <w:rPr>
      <w:rFonts w:ascii="Tahoma" w:hAnsi="Tahoma" w:cs="Tahoma"/>
      <w:sz w:val="16"/>
      <w:szCs w:val="16"/>
    </w:rPr>
  </w:style>
  <w:style w:type="character" w:customStyle="1" w:styleId="BalloonTextChar">
    <w:name w:val="Balloon Text Char"/>
    <w:basedOn w:val="DefaultParagraphFont"/>
    <w:link w:val="BalloonText"/>
    <w:uiPriority w:val="99"/>
    <w:semiHidden/>
    <w:rsid w:val="00171F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BC17CDE4</Template>
  <TotalTime>0</TotalTime>
  <Pages>1</Pages>
  <Words>304</Words>
  <Characters>1738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2</cp:revision>
  <dcterms:created xsi:type="dcterms:W3CDTF">2012-06-03T08:11:00Z</dcterms:created>
  <dcterms:modified xsi:type="dcterms:W3CDTF">2012-06-03T08:11:00Z</dcterms:modified>
</cp:coreProperties>
</file>